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717" w:rsidRPr="00FA6E4E" w:rsidRDefault="00A60D06" w:rsidP="000818DD">
      <w:pPr>
        <w:pStyle w:val="Heading110"/>
        <w:keepNext/>
        <w:keepLines/>
        <w:shd w:val="clear" w:color="auto" w:fill="auto"/>
        <w:spacing w:line="288" w:lineRule="auto"/>
        <w:ind w:right="198"/>
        <w:jc w:val="left"/>
        <w:rPr>
          <w:b w:val="0"/>
          <w:sz w:val="6"/>
        </w:rPr>
      </w:pPr>
      <w:bookmarkStart w:id="0" w:name="bookmark0"/>
      <w:r>
        <w:rPr>
          <w:noProof/>
          <w:lang w:eastAsia="cs-CZ" w:bidi="ar-SA"/>
        </w:rPr>
        <w:drawing>
          <wp:anchor distT="0" distB="0" distL="63500" distR="164465" simplePos="0" relativeHeight="251657728" behindDoc="1" locked="0" layoutInCell="1" allowOverlap="1" wp14:anchorId="307D786B" wp14:editId="58817F5B">
            <wp:simplePos x="0" y="0"/>
            <wp:positionH relativeFrom="margin">
              <wp:posOffset>21921</wp:posOffset>
            </wp:positionH>
            <wp:positionV relativeFrom="paragraph">
              <wp:posOffset>387681</wp:posOffset>
            </wp:positionV>
            <wp:extent cx="1609090" cy="883920"/>
            <wp:effectExtent l="0" t="0" r="0" b="0"/>
            <wp:wrapSquare wrapText="right"/>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090" cy="883920"/>
                    </a:xfrm>
                    <a:prstGeom prst="rect">
                      <a:avLst/>
                    </a:prstGeom>
                    <a:noFill/>
                  </pic:spPr>
                </pic:pic>
              </a:graphicData>
            </a:graphic>
            <wp14:sizeRelH relativeFrom="page">
              <wp14:pctWidth>0</wp14:pctWidth>
            </wp14:sizeRelH>
            <wp14:sizeRelV relativeFrom="page">
              <wp14:pctHeight>0</wp14:pctHeight>
            </wp14:sizeRelV>
          </wp:anchor>
        </w:drawing>
      </w:r>
      <w:r>
        <w:rPr>
          <w:b w:val="0"/>
          <w:noProof/>
          <w:sz w:val="20"/>
          <w:lang w:eastAsia="cs-CZ" w:bidi="ar-SA"/>
        </w:rPr>
        <mc:AlternateContent>
          <mc:Choice Requires="wps">
            <w:drawing>
              <wp:anchor distT="0" distB="0" distL="114300" distR="114300" simplePos="0" relativeHeight="251659776" behindDoc="1" locked="0" layoutInCell="0" allowOverlap="1" wp14:anchorId="7AFFA1C4" wp14:editId="3BEDE8FE">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717" w:rsidRPr="00260E65" w:rsidRDefault="005F7717">
                            <w:pPr>
                              <w:jc w:val="center"/>
                              <w:rPr>
                                <w:rFonts w:ascii="Arial" w:hAnsi="Arial" w:cs="Arial"/>
                                <w:b/>
                                <w:bCs/>
                                <w:sz w:val="48"/>
                              </w:rPr>
                            </w:pPr>
                            <w:r>
                              <w:rPr>
                                <w:rFonts w:ascii="Arial" w:hAnsi="Arial"/>
                                <w:b/>
                                <w:bCs/>
                                <w:sz w:val="48"/>
                              </w:rPr>
                              <w:t>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FA1C4" id="_x0000_t202" coordsize="21600,21600" o:spt="202" path="m,l,21600r21600,l21600,xe">
                <v:stroke joinstyle="miter"/>
                <v:path gradientshapeok="t" o:connecttype="rect"/>
              </v:shapetype>
              <v:shape id="Text Box 17" o:spid="_x0000_s1026" type="#_x0000_t202" style="position:absolute;margin-left:533pt;margin-top:793.8pt;width:51pt;height:3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5F7717" w:rsidRPr="00260E65" w:rsidRDefault="005F7717">
                      <w:pPr>
                        <w:jc w:val="center"/>
                        <w:rPr>
                          <w:rFonts w:ascii="Arial" w:hAnsi="Arial" w:cs="Arial"/>
                          <w:b/>
                          <w:bCs/>
                          <w:sz w:val="48"/>
                        </w:rPr>
                      </w:pPr>
                      <w:r>
                        <w:rPr>
                          <w:rFonts w:ascii="Arial" w:hAnsi="Arial"/>
                          <w:b/>
                          <w:bCs/>
                          <w:sz w:val="48"/>
                        </w:rPr>
                        <w:t>CS</w:t>
                      </w:r>
                    </w:p>
                  </w:txbxContent>
                </v:textbox>
                <w10:wrap anchorx="page" anchory="page"/>
              </v:shape>
            </w:pict>
          </mc:Fallback>
        </mc:AlternateContent>
      </w:r>
    </w:p>
    <w:p w:rsidR="007D1F4E" w:rsidRPr="00FA6E4E" w:rsidRDefault="00C87E7D" w:rsidP="000818DD">
      <w:pPr>
        <w:pStyle w:val="Heading110"/>
        <w:keepNext/>
        <w:keepLines/>
        <w:shd w:val="clear" w:color="auto" w:fill="auto"/>
        <w:spacing w:line="288" w:lineRule="auto"/>
        <w:ind w:right="200"/>
      </w:pPr>
      <w:r>
        <w:t>Simulace přijímání opatření v oblasti klimatu – rozvojové země</w:t>
      </w:r>
      <w:bookmarkEnd w:id="0"/>
    </w:p>
    <w:p w:rsidR="007D1F4E" w:rsidRPr="00FA6E4E" w:rsidRDefault="00C87E7D" w:rsidP="000818DD">
      <w:pPr>
        <w:pStyle w:val="Bodytext30"/>
        <w:shd w:val="clear" w:color="auto" w:fill="auto"/>
        <w:tabs>
          <w:tab w:val="left" w:pos="994"/>
        </w:tabs>
        <w:spacing w:before="0" w:after="120" w:line="288" w:lineRule="auto"/>
        <w:ind w:left="400"/>
      </w:pPr>
      <w:r>
        <w:t>Aktéři:</w:t>
      </w:r>
      <w:r>
        <w:tab/>
        <w:t>Hlavní vyjednavači za rozvojové země</w:t>
      </w:r>
    </w:p>
    <w:p w:rsidR="007D1F4E" w:rsidRPr="00FA6E4E" w:rsidRDefault="00C87E7D" w:rsidP="000818DD">
      <w:pPr>
        <w:pStyle w:val="Bodytext20"/>
        <w:shd w:val="clear" w:color="auto" w:fill="auto"/>
        <w:spacing w:line="288" w:lineRule="auto"/>
        <w:ind w:left="3828" w:firstLine="0"/>
        <w:jc w:val="both"/>
      </w:pPr>
      <w:r>
        <w:t>(více než 100 zemí: jihovýchodní Asie, většina zemí Střední a Jižní Ameriky, většina afrických států, malé ostrovní státy a velká část Blízkého východu)</w:t>
      </w:r>
    </w:p>
    <w:p w:rsidR="007D1F4E" w:rsidRPr="00FA6E4E" w:rsidRDefault="00C87E7D" w:rsidP="000818DD">
      <w:pPr>
        <w:pStyle w:val="Bodytext30"/>
        <w:shd w:val="clear" w:color="auto" w:fill="auto"/>
        <w:tabs>
          <w:tab w:val="left" w:pos="994"/>
        </w:tabs>
        <w:spacing w:before="0" w:after="120" w:line="288" w:lineRule="auto"/>
        <w:ind w:left="400"/>
      </w:pPr>
      <w:r>
        <w:t xml:space="preserve">Věc: </w:t>
      </w:r>
      <w:r>
        <w:tab/>
        <w:t>Příprava summitu o opatřeních v oblasti klimatu</w:t>
      </w:r>
    </w:p>
    <w:p w:rsidR="0063415F" w:rsidRDefault="0063415F" w:rsidP="000818DD">
      <w:pPr>
        <w:pStyle w:val="Bodytext20"/>
        <w:shd w:val="clear" w:color="auto" w:fill="auto"/>
        <w:spacing w:line="288" w:lineRule="auto"/>
        <w:ind w:firstLine="0"/>
        <w:jc w:val="both"/>
      </w:pPr>
      <w:r>
        <w:t xml:space="preserve">Vítejte na summitu o opatřeních v oblasti klimatu! Generální tajemník OSN vyzval vás a vedoucí představitele všech důležitých zainteresovaných skupin, abyste společně nalezli řešení problematiky změny klimatu. Generální tajemník ve své výzvě </w:t>
      </w:r>
      <w:r>
        <w:rPr>
          <w:color w:val="0000FF"/>
          <w:u w:val="single"/>
        </w:rPr>
        <w:t>uvedl</w:t>
      </w:r>
      <w:r>
        <w:t>: „Stále se nám nedaří vyřešit naléhavou situaci v oblasti klimatu, ale ještě není vše ztraceno. Špičkoví vědci upozorňují na to, že jakékoli zvýšení teploty o více než 1,5 °C povede k rozsáhlému a nenávratnému poškození ekosystémů, v nichž žijeme. Podle vědců ale ještě není pozdě. Stále máme šanci. Budeme však muset provést zásadní změny ve všech aspektech naší společnosti, a to pokud jde o pěstování potravin, využívání půdy, pohonné hmoty a energie pro naše hospodářství. Budeme-li jednat společně, nikdo nebude opomenut.“</w:t>
      </w:r>
    </w:p>
    <w:p w:rsidR="007D1F4E" w:rsidRPr="00FA6E4E" w:rsidRDefault="0063415F" w:rsidP="000818DD">
      <w:pPr>
        <w:pStyle w:val="Bodytext20"/>
        <w:shd w:val="clear" w:color="auto" w:fill="auto"/>
        <w:spacing w:line="288" w:lineRule="auto"/>
        <w:ind w:firstLine="0"/>
        <w:jc w:val="both"/>
      </w:pPr>
      <w:r>
        <w:t xml:space="preserve">Cílem summitu je vypracovat plán, jak udržet globální oteplování na úrovni pod 2 °C [3,6 °F] ve srovnání s obdobím před průmyslovou revolucí a zajistit, aby nárůst teplot nepřekročil 1,5 °C [2,7 °F], což jsou mezinárodní cíle formálně uznané v Pařížské dohodě o klimatu. </w:t>
      </w:r>
      <w:r>
        <w:rPr>
          <w:color w:val="0000FF"/>
          <w:u w:val="single"/>
        </w:rPr>
        <w:t>Vědecké důkazy</w:t>
      </w:r>
      <w:r>
        <w:t xml:space="preserve"> hovoří jasně – oteplení nad tuto úroveň bude mít katastrofické a nenávratné dopady ohrožující zdraví, prosperitu </w:t>
      </w:r>
      <w:r w:rsidR="000818DD">
        <w:t>a </w:t>
      </w:r>
      <w:r>
        <w:t>životy lidí na celém světě.</w:t>
      </w:r>
    </w:p>
    <w:p w:rsidR="007D1F4E" w:rsidRPr="00FA6E4E" w:rsidRDefault="00C87E7D" w:rsidP="000818DD">
      <w:pPr>
        <w:pStyle w:val="Bodytext20"/>
        <w:shd w:val="clear" w:color="auto" w:fill="auto"/>
        <w:spacing w:line="288" w:lineRule="auto"/>
        <w:ind w:firstLine="0"/>
        <w:jc w:val="both"/>
      </w:pPr>
      <w:r>
        <w:t>Zastupujete nejméně rozvinuté země světa. Celkový počet obyvatel vašich zemí je 2,9 miliardy, tj. přibližně 38 % ze 7,7 miliardy světové populace, a rychle roste. Vaše země však společně vytvářejí jen okolo 16 % světové hospodářské produkce a vykazují nižší HDP (hrubý domácí produkt) na obyvatele a mnohem vyšší míru chudoby než rozvinuté země.</w:t>
      </w:r>
    </w:p>
    <w:p w:rsidR="007D1F4E" w:rsidRPr="00FA6E4E" w:rsidRDefault="00C87E7D" w:rsidP="000818DD">
      <w:pPr>
        <w:pStyle w:val="Bodytext20"/>
        <w:shd w:val="clear" w:color="auto" w:fill="auto"/>
        <w:spacing w:line="288" w:lineRule="auto"/>
        <w:ind w:firstLine="0"/>
        <w:jc w:val="both"/>
      </w:pPr>
      <w:r>
        <w:t>Vaše politické priority jsou uvedeny níže. Můžete však navrhnout nebo zablokovat jakákoli dostupná opatření.</w:t>
      </w:r>
    </w:p>
    <w:p w:rsidR="007D1F4E" w:rsidRPr="00FA6E4E" w:rsidRDefault="00C87E7D" w:rsidP="000818DD">
      <w:pPr>
        <w:pStyle w:val="Bodytext30"/>
        <w:numPr>
          <w:ilvl w:val="0"/>
          <w:numId w:val="1"/>
        </w:numPr>
        <w:shd w:val="clear" w:color="auto" w:fill="auto"/>
        <w:tabs>
          <w:tab w:val="left" w:pos="362"/>
        </w:tabs>
        <w:spacing w:before="0" w:after="120" w:line="288" w:lineRule="auto"/>
        <w:ind w:left="400"/>
      </w:pPr>
      <w:r>
        <w:t>Dotování obnovitelných zdrojů energie (např. solární, větrné, geotermální a hydroelektrické energie a jejího skladování).</w:t>
      </w:r>
    </w:p>
    <w:p w:rsidR="007D1F4E" w:rsidRPr="00FA6E4E" w:rsidRDefault="00C87E7D" w:rsidP="000818DD">
      <w:pPr>
        <w:pStyle w:val="Bodytext20"/>
        <w:shd w:val="clear" w:color="auto" w:fill="auto"/>
        <w:spacing w:line="288" w:lineRule="auto"/>
        <w:ind w:left="400" w:firstLine="0"/>
        <w:jc w:val="both"/>
      </w:pPr>
      <w:r>
        <w:rPr>
          <w:rStyle w:val="Bodytext23"/>
        </w:rPr>
        <w:t>Odvětví výroby energie z obnovitelných zdrojů roste rychle, ale</w:t>
      </w:r>
      <w:r w:rsidR="000818DD">
        <w:rPr>
          <w:rStyle w:val="Bodytext23"/>
        </w:rPr>
        <w:t xml:space="preserve"> stále představuje méně než 5 % </w:t>
      </w:r>
      <w:r>
        <w:rPr>
          <w:rStyle w:val="Bodytext23"/>
        </w:rPr>
        <w:t xml:space="preserve">dodávek energie ve světě. Dotace pomohou těmto průmyslovým odvětvím růst a vytvářet ve vašich zemích pracovní místa (pokud se vám podaří předstihnout zlepšování větrných, solárních </w:t>
      </w:r>
      <w:r w:rsidR="000818DD">
        <w:rPr>
          <w:rStyle w:val="Bodytext23"/>
        </w:rPr>
        <w:t>a </w:t>
      </w:r>
      <w:r>
        <w:rPr>
          <w:rStyle w:val="Bodytext23"/>
        </w:rPr>
        <w:t xml:space="preserve">bateriových technologií, jež probíhá v rozvinutých zemích). Technologie skladování energie (např. baterie, akumulace tepla, přečerpávací vodní elektrárny) a řízení dynamického zatížení </w:t>
      </w:r>
      <w:r w:rsidR="000818DD">
        <w:rPr>
          <w:rStyle w:val="Bodytext23"/>
        </w:rPr>
        <w:t>v </w:t>
      </w:r>
      <w:r>
        <w:rPr>
          <w:rStyle w:val="Bodytext23"/>
        </w:rPr>
        <w:t>případě elektrické energie umožňují začlenění obnovitelných zdrojů s proměnlivou dostupností, jako je větrná a solární energie, do energetického systému a zároveň zajištění nepřetržité dodávky elektřiny. Dotace na obnovitelné zdroje, které by financovaly rozvinuté a rychle se rozvíjející země, jako je např. Čína, by tyto zdroje energie ve vašich zemích výrazně zlevnily a urychlily by hospodářský rozvoj.</w:t>
      </w:r>
    </w:p>
    <w:p w:rsidR="007D1F4E" w:rsidRPr="00FA6E4E" w:rsidRDefault="00A067A5" w:rsidP="000818DD">
      <w:pPr>
        <w:pStyle w:val="Bodytext30"/>
        <w:keepNext/>
        <w:keepLines/>
        <w:numPr>
          <w:ilvl w:val="0"/>
          <w:numId w:val="1"/>
        </w:numPr>
        <w:shd w:val="clear" w:color="auto" w:fill="auto"/>
        <w:tabs>
          <w:tab w:val="left" w:pos="362"/>
        </w:tabs>
        <w:spacing w:before="0" w:after="120" w:line="288" w:lineRule="auto"/>
        <w:ind w:left="403" w:hanging="403"/>
        <w:rPr>
          <w:b w:val="0"/>
        </w:rPr>
      </w:pPr>
      <w:r>
        <w:lastRenderedPageBreak/>
        <w:t xml:space="preserve">Snížení emisí </w:t>
      </w:r>
      <w:proofErr w:type="spellStart"/>
      <w:r>
        <w:t>methanu</w:t>
      </w:r>
      <w:proofErr w:type="spellEnd"/>
      <w:r>
        <w:t>, oxidu dusného a dalších skleníkových plynů.</w:t>
      </w:r>
      <w:r>
        <w:rPr>
          <w:b w:val="0"/>
        </w:rPr>
        <w:t xml:space="preserve"> CO</w:t>
      </w:r>
      <w:r>
        <w:rPr>
          <w:b w:val="0"/>
          <w:vertAlign w:val="subscript"/>
        </w:rPr>
        <w:t>2</w:t>
      </w:r>
      <w:r>
        <w:rPr>
          <w:b w:val="0"/>
        </w:rPr>
        <w:t xml:space="preserve"> je sice hlavním skleníkovým plynem, přibližně čtvrtinu globálního oteplování však způsobují jiné plyny. Patří </w:t>
      </w:r>
      <w:r w:rsidR="000818DD">
        <w:rPr>
          <w:b w:val="0"/>
        </w:rPr>
        <w:t>k </w:t>
      </w:r>
      <w:r>
        <w:rPr>
          <w:b w:val="0"/>
        </w:rPr>
        <w:t>nim methan (CH</w:t>
      </w:r>
      <w:r>
        <w:rPr>
          <w:b w:val="0"/>
          <w:vertAlign w:val="subscript"/>
        </w:rPr>
        <w:t>4</w:t>
      </w:r>
      <w:r>
        <w:rPr>
          <w:b w:val="0"/>
        </w:rPr>
        <w:t>), oxid dusný (N</w:t>
      </w:r>
      <w:r>
        <w:rPr>
          <w:b w:val="0"/>
          <w:vertAlign w:val="subscript"/>
        </w:rPr>
        <w:t>2</w:t>
      </w:r>
      <w:r>
        <w:rPr>
          <w:b w:val="0"/>
        </w:rPr>
        <w:t>O) a celá řada chlor-fluorovaných uhlovodíků a dalších fluorovaných sloučenin (tzv. F-plynů). Mnohé z těchto plynů budou v následujícím století přispívat ke globálnímu oteplování každou molekulou desetinásobně, stonásobně, nebo dokonce tisícinásobně víc než CO</w:t>
      </w:r>
      <w:r>
        <w:rPr>
          <w:b w:val="0"/>
          <w:vertAlign w:val="subscript"/>
        </w:rPr>
        <w:t>2</w:t>
      </w:r>
      <w:r>
        <w:rPr>
          <w:b w:val="0"/>
        </w:rPr>
        <w:t>. Ačkoli jsou jejich koncentrace nízké, rychle se zvyšují. Většina těchto emisí vzniká v rozvinutých zemích a v rychle se rozvíjejících ekonomikách světa.</w:t>
      </w:r>
    </w:p>
    <w:p w:rsidR="007D1F4E" w:rsidRPr="00FA6E4E" w:rsidRDefault="00A067A5" w:rsidP="000818DD">
      <w:pPr>
        <w:pStyle w:val="Bodytext30"/>
        <w:numPr>
          <w:ilvl w:val="0"/>
          <w:numId w:val="1"/>
        </w:numPr>
        <w:shd w:val="clear" w:color="auto" w:fill="auto"/>
        <w:tabs>
          <w:tab w:val="left" w:pos="362"/>
        </w:tabs>
        <w:spacing w:before="0" w:after="120" w:line="288" w:lineRule="auto"/>
        <w:ind w:left="400"/>
      </w:pPr>
      <w:r>
        <w:t>Omezení odlesňování.</w:t>
      </w:r>
      <w:r>
        <w:rPr>
          <w:b w:val="0"/>
        </w:rPr>
        <w:t xml:space="preserve"> Přibližně 15 % všech emisí skleníkových plynů na světě je v současné době způsobováno odlesňováním. Dochází k němu převážně v tropických pralesech vašich zemí, např. v Amazonii, v jižní a jihovýchodní Asii a v Africe. Ochrana lesů může vést ke snížení těchto emisí a zároveň k zachování biologické rozmanitosti a ochraně vodních zdrojů. Omezení odlesňování však zároveň omezuje možnosti využití těchto ploch pro těžbu dřeva, produkci potravin, výrobu bioenergie a další důležité účely.</w:t>
      </w:r>
    </w:p>
    <w:p w:rsidR="007D1F4E" w:rsidRPr="00FA6E4E" w:rsidRDefault="00C87E7D" w:rsidP="000818DD">
      <w:pPr>
        <w:pStyle w:val="Bodytext20"/>
        <w:numPr>
          <w:ilvl w:val="0"/>
          <w:numId w:val="1"/>
        </w:numPr>
        <w:shd w:val="clear" w:color="auto" w:fill="auto"/>
        <w:tabs>
          <w:tab w:val="left" w:pos="362"/>
        </w:tabs>
        <w:spacing w:line="288" w:lineRule="auto"/>
        <w:ind w:left="400"/>
        <w:jc w:val="both"/>
      </w:pPr>
      <w:r>
        <w:rPr>
          <w:rStyle w:val="Bodytext2Bold"/>
        </w:rPr>
        <w:t xml:space="preserve">Zvážení zalesňování. </w:t>
      </w:r>
      <w:r>
        <w:t>Zalesňování znamená vysazování nových lesů na půdě, kde nejsou stromy. V některých případech byla tato půda dříve odlesněna nebo znehodnocena. Pokud by zalesňování probíhalo ve velkém měřítku, mohlo by se provádět na půdě, která je nezbytná pro pěstování plodin nebo chov hospodářských zvířat, čímž by se zvýšily ceny potravin. Zvažte, na jak velké rozloze by měly být prováděny politiky zalesňování, které navrhujete vy a ostatní skupiny.</w:t>
      </w:r>
    </w:p>
    <w:p w:rsidR="007D1F4E" w:rsidRPr="00FA6E4E" w:rsidRDefault="00C87E7D" w:rsidP="000818DD">
      <w:pPr>
        <w:pStyle w:val="Bodytext20"/>
        <w:numPr>
          <w:ilvl w:val="0"/>
          <w:numId w:val="1"/>
        </w:numPr>
        <w:shd w:val="clear" w:color="auto" w:fill="auto"/>
        <w:tabs>
          <w:tab w:val="left" w:pos="362"/>
        </w:tabs>
        <w:spacing w:line="288" w:lineRule="auto"/>
        <w:ind w:left="400"/>
        <w:jc w:val="both"/>
      </w:pPr>
      <w:r>
        <w:rPr>
          <w:rStyle w:val="Bodytext2Bold"/>
        </w:rPr>
        <w:t xml:space="preserve">Zvážení zdanění uhlí. </w:t>
      </w:r>
      <w:r>
        <w:t>Mnohé z vašich zemí budují nové uhelné doly a elektrárny, a to přesto, že uhlí je palivo s nejvyšším podílem uhlíku a způsobuje značné znečištění ovzduší, které v dnešní době ohrožuje miliony lidí ve vašich zemích. Zdanění, regulace, či dokonce postupné ukončení využívání uhlí by mohlo rychle snížit emise, omezit nebezpečné znečištění ovzduší a zlepšit zdraví obyvatel.</w:t>
      </w:r>
    </w:p>
    <w:p w:rsidR="007D1F4E" w:rsidRPr="00FA6E4E" w:rsidRDefault="00E65821" w:rsidP="000818DD">
      <w:pPr>
        <w:pStyle w:val="Bodytext20"/>
        <w:numPr>
          <w:ilvl w:val="0"/>
          <w:numId w:val="1"/>
        </w:numPr>
        <w:shd w:val="clear" w:color="auto" w:fill="auto"/>
        <w:tabs>
          <w:tab w:val="left" w:pos="362"/>
        </w:tabs>
        <w:spacing w:line="288" w:lineRule="auto"/>
        <w:ind w:left="400"/>
        <w:jc w:val="both"/>
      </w:pPr>
      <w:r>
        <w:rPr>
          <w:b/>
        </w:rPr>
        <w:t>Zvážení možnosti zpoplatnit emise CO</w:t>
      </w:r>
      <w:r>
        <w:rPr>
          <w:b/>
          <w:vertAlign w:val="subscript"/>
        </w:rPr>
        <w:t>2</w:t>
      </w:r>
      <w:r>
        <w:rPr>
          <w:b/>
        </w:rPr>
        <w:t>.</w:t>
      </w:r>
      <w:r>
        <w:t xml:space="preserve"> Fosilní paliva stále dominují světovému energetickému systému a s nimi spojené emise CO</w:t>
      </w:r>
      <w:r>
        <w:rPr>
          <w:vertAlign w:val="subscript"/>
        </w:rPr>
        <w:t>2</w:t>
      </w:r>
      <w:r>
        <w:t xml:space="preserve"> přispívají ke změně klimat</w:t>
      </w:r>
      <w:r w:rsidR="000818DD">
        <w:t>u zdaleka největší měrou. Tržní </w:t>
      </w:r>
      <w:r>
        <w:t>ceny v současnosti nezahrnují ekologické a sociální škody způsobené fosilními palivy (jejich „negativní externality“). Situaci ještě zhoršuje skutečnost, že</w:t>
      </w:r>
      <w:r w:rsidR="000818DD">
        <w:t xml:space="preserve"> vlády na celém světě, a to i v </w:t>
      </w:r>
      <w:r>
        <w:t xml:space="preserve">řadě vašich zemí, dotují odvětví fosilních paliv prostředky ve výši 775 </w:t>
      </w:r>
      <w:r w:rsidR="000818DD">
        <w:t>miliard až 1 bilionu </w:t>
      </w:r>
      <w:r>
        <w:t>USD ročně. Ekonomové se shodují na tom, že stanovení ceny uhlíku je nejlepším způsobem, jak snížit celosvětové emise skleníkových plynů. Zvažte podpoření celosvětového zpoplatnění uhlíku a jeho případného postupného zavádění, aby byl čas se mu přizpůsobit.</w:t>
      </w:r>
    </w:p>
    <w:p w:rsidR="007D1F4E" w:rsidRPr="00FA6E4E" w:rsidRDefault="00C87E7D" w:rsidP="000818DD">
      <w:pPr>
        <w:pStyle w:val="Bodytext20"/>
        <w:shd w:val="clear" w:color="auto" w:fill="auto"/>
        <w:spacing w:line="288" w:lineRule="auto"/>
        <w:ind w:left="400" w:firstLine="0"/>
        <w:jc w:val="both"/>
      </w:pPr>
      <w:r>
        <w:t>Takto získané příjmy mohou být zpětně využity pro veřejnost nebo mohou pomoci kompenzovat náklady na jiné politiky. Přestože v několika vašich zemích bylo zavedeno zpoplatnění emisí uhlíku, ceny uhlíku jsou mnohem nižší než cena 30–50 USD či více za tunu CO</w:t>
      </w:r>
      <w:r>
        <w:rPr>
          <w:vertAlign w:val="subscript"/>
        </w:rPr>
        <w:t>2</w:t>
      </w:r>
      <w:r>
        <w:t>, kterou doporučuje řada ekonomů. Nemůžete si však dovolit postupovat příliš rychle – zatímco střední třídy ve vašich zemích si mohou jen stěží dovolit výrobky a služby, které jsou v rozvinutých zemích považovány za samozřejmost (jako např. automobily, klimatizace, letecká doprava atd.), chudí ve vašich zemích požadují zajištění spolehlivých dodávek elektřiny, čisté vody, potravin, zdravotní péče, důstojného bydlení a dalších základních lidských potřeb a na vlastní kůži pocítí nárůst nákladů na energii.</w:t>
      </w:r>
    </w:p>
    <w:p w:rsidR="0033065F" w:rsidRDefault="0033065F" w:rsidP="000818DD">
      <w:pPr>
        <w:pStyle w:val="Bodytext50"/>
        <w:shd w:val="clear" w:color="auto" w:fill="auto"/>
        <w:spacing w:before="0" w:line="288" w:lineRule="auto"/>
        <w:rPr>
          <w:lang w:val="en-GB"/>
        </w:rPr>
      </w:pPr>
    </w:p>
    <w:p w:rsidR="007D1F4E" w:rsidRPr="00FA6E4E" w:rsidRDefault="00C87E7D" w:rsidP="000818DD">
      <w:pPr>
        <w:pStyle w:val="Bodytext50"/>
        <w:keepNext/>
        <w:keepLines/>
        <w:shd w:val="clear" w:color="auto" w:fill="auto"/>
        <w:spacing w:before="0" w:line="288" w:lineRule="auto"/>
      </w:pPr>
      <w:bookmarkStart w:id="1" w:name="_GoBack"/>
      <w:r>
        <w:lastRenderedPageBreak/>
        <w:t>Další body k úvaze:</w:t>
      </w:r>
    </w:p>
    <w:p w:rsidR="007D1F4E" w:rsidRPr="00FA6E4E" w:rsidRDefault="00C87E7D" w:rsidP="000818DD">
      <w:pPr>
        <w:pStyle w:val="Bodytext20"/>
        <w:keepNext/>
        <w:keepLines/>
        <w:shd w:val="clear" w:color="auto" w:fill="auto"/>
        <w:spacing w:line="288" w:lineRule="auto"/>
        <w:ind w:firstLine="0"/>
        <w:jc w:val="both"/>
      </w:pPr>
      <w:r>
        <w:t xml:space="preserve">Mnoho lidí ve vaší zemi nemá přístup k elektřině nebo ke spolehlivým a cenově dostupným dodávkám energie. </w:t>
      </w:r>
      <w:bookmarkEnd w:id="1"/>
      <w:r>
        <w:t>Vaše země jsou v současnosti odpovědné pouze za přibližně 24 % celosvětových emisí skleníkových plynů a emise v přepočtu na obyvatele jsou mnohem nižší než v rozvinutých zemích, nebo dokonce v Číně. Spotřeba fosilních paliv ve vašich zemích však s rozvojem vašich ekonomik rychle roste. Většinu kumulativních emisí skleníkových plynů, které krizi v oblasti klimatu způsobily, vyprodukovaly rozvinuté země. Změnou klimatu však budou nejvíce postiženi vaši občané, kteří mají také nejmenší schopnost se jí přizpůsobit. Domníváte se proto, že je jejich morální povinností snížit své emise a že politiky sloužící k boji proti změně klimatu nelze akceptovat, pokud zpomalují váš hospodářský rozvoj a schopnost poskytovat lidem potraviny, pracovní místa, bydlení, vzdělání, zdravotní péči a další základní potřeby, které lidé v rozvinutých zemích považují za samozřejmost.</w:t>
      </w:r>
    </w:p>
    <w:p w:rsidR="007D1F4E" w:rsidRPr="00FA6E4E" w:rsidRDefault="00C87E7D" w:rsidP="000818DD">
      <w:pPr>
        <w:pStyle w:val="Bodytext20"/>
        <w:shd w:val="clear" w:color="auto" w:fill="auto"/>
        <w:spacing w:line="288" w:lineRule="auto"/>
        <w:ind w:firstLine="0"/>
        <w:jc w:val="both"/>
      </w:pPr>
      <w:r>
        <w:t>Změna klimatu zároveň vážně ohrožuje prosperitu, zdraví a životy vašich občanů. Znečištění ovzduší z fosilních paliv ve vašich zemích každoročně způsobuje miliony předčasných úmrtí. Vzestup mořské hladiny, extrémní počasí, sucha, pokles úrody a další škody způsobené změnou klimatu v rostoucí míře podněcují konflikty a migraci, což podkopává legitimitu vašich vlád a v případě malých ostrovních států dokonce ohrožuje jejich existenci. Vaše země mají příležitost přeskočit éru fosilních paliv a vstoupit do éry čisté, účinné energie z obnovitelných zdrojů, podobně jako mnoho z vás přeskočilo éru pevných telefonních linek a vstoupilo rovnou do éry mobilních telefonů. Energetická účinnost a obnovitelné zdroje, např. větrná a solární energie, často přinášejí zisky, vytvářejí pracovní místa a hospodářské příležitosti a zlepšují veřejné zdraví.</w:t>
      </w:r>
    </w:p>
    <w:p w:rsidR="00F367C3" w:rsidRPr="00FA6E4E" w:rsidRDefault="00F367C3" w:rsidP="000818DD">
      <w:pPr>
        <w:spacing w:after="120" w:line="288" w:lineRule="auto"/>
        <w:jc w:val="center"/>
      </w:pPr>
      <w:r>
        <w:t>_____________</w:t>
      </w:r>
    </w:p>
    <w:p w:rsidR="00F367C3" w:rsidRPr="00F367C3" w:rsidRDefault="00F367C3" w:rsidP="000818DD">
      <w:pPr>
        <w:pStyle w:val="Bodytext20"/>
        <w:shd w:val="clear" w:color="auto" w:fill="auto"/>
        <w:spacing w:line="288" w:lineRule="auto"/>
        <w:ind w:firstLine="0"/>
        <w:jc w:val="both"/>
        <w:rPr>
          <w:lang w:val="en-GB"/>
        </w:rPr>
      </w:pPr>
    </w:p>
    <w:sectPr w:rsidR="00F367C3" w:rsidRPr="00F367C3" w:rsidSect="00FA6E4E">
      <w:footerReference w:type="default" r:id="rId8"/>
      <w:pgSz w:w="11907" w:h="16840" w:code="9"/>
      <w:pgMar w:top="1418" w:right="1418" w:bottom="1418" w:left="1418"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E3B" w:rsidRDefault="00C87E7D">
      <w:r>
        <w:separator/>
      </w:r>
    </w:p>
  </w:endnote>
  <w:endnote w:type="continuationSeparator" w:id="0">
    <w:p w:rsidR="00AD4E3B" w:rsidRDefault="00C8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C3" w:rsidRPr="00FA6E4E" w:rsidRDefault="00F367C3">
    <w:pPr>
      <w:pStyle w:val="Footer"/>
      <w:rPr>
        <w:i/>
        <w:sz w:val="20"/>
        <w:szCs w:val="20"/>
      </w:rPr>
    </w:pPr>
    <w:r>
      <w:rPr>
        <w:i/>
        <w:sz w:val="20"/>
        <w:szCs w:val="20"/>
      </w:rPr>
      <w:t xml:space="preserve">Autoři: Climate </w:t>
    </w:r>
    <w:proofErr w:type="spellStart"/>
    <w:r>
      <w:rPr>
        <w:i/>
        <w:sz w:val="20"/>
        <w:szCs w:val="20"/>
      </w:rPr>
      <w:t>Interactive</w:t>
    </w:r>
    <w:proofErr w:type="spellEnd"/>
    <w:r>
      <w:rPr>
        <w:i/>
        <w:sz w:val="20"/>
        <w:szCs w:val="20"/>
      </w:rPr>
      <w:t xml:space="preserve">, MIT </w:t>
    </w:r>
    <w:proofErr w:type="spellStart"/>
    <w:r>
      <w:rPr>
        <w:i/>
        <w:sz w:val="20"/>
        <w:szCs w:val="20"/>
      </w:rPr>
      <w:t>Sloan</w:t>
    </w:r>
    <w:proofErr w:type="spellEnd"/>
    <w:r>
      <w:rPr>
        <w:i/>
        <w:sz w:val="20"/>
        <w:szCs w:val="20"/>
      </w:rPr>
      <w:t xml:space="preserve"> School of Management </w:t>
    </w:r>
    <w:proofErr w:type="spellStart"/>
    <w:r>
      <w:rPr>
        <w:i/>
        <w:sz w:val="20"/>
        <w:szCs w:val="20"/>
      </w:rPr>
      <w:t>Sustainability</w:t>
    </w:r>
    <w:proofErr w:type="spellEnd"/>
    <w:r>
      <w:rPr>
        <w:i/>
        <w:sz w:val="20"/>
        <w:szCs w:val="20"/>
      </w:rPr>
      <w:t xml:space="preserve"> </w:t>
    </w:r>
    <w:proofErr w:type="spellStart"/>
    <w:r>
      <w:rPr>
        <w:i/>
        <w:sz w:val="20"/>
        <w:szCs w:val="20"/>
      </w:rPr>
      <w:t>In</w:t>
    </w:r>
    <w:r w:rsidR="000818DD">
      <w:rPr>
        <w:i/>
        <w:sz w:val="20"/>
        <w:szCs w:val="20"/>
      </w:rPr>
      <w:t>itiative</w:t>
    </w:r>
    <w:proofErr w:type="spellEnd"/>
    <w:r w:rsidR="000818DD">
      <w:rPr>
        <w:i/>
        <w:sz w:val="20"/>
        <w:szCs w:val="20"/>
      </w:rPr>
      <w:t>, ESB Business School a </w:t>
    </w:r>
    <w:proofErr w:type="spellStart"/>
    <w:r>
      <w:rPr>
        <w:i/>
        <w:sz w:val="20"/>
        <w:szCs w:val="20"/>
      </w:rPr>
      <w:t>UMass</w:t>
    </w:r>
    <w:proofErr w:type="spellEnd"/>
    <w:r>
      <w:rPr>
        <w:i/>
        <w:sz w:val="20"/>
        <w:szCs w:val="20"/>
      </w:rPr>
      <w:t xml:space="preserve"> </w:t>
    </w:r>
    <w:proofErr w:type="spellStart"/>
    <w:r>
      <w:rPr>
        <w:i/>
        <w:sz w:val="20"/>
        <w:szCs w:val="20"/>
      </w:rPr>
      <w:t>Lowell</w:t>
    </w:r>
    <w:proofErr w:type="spellEnd"/>
    <w:r>
      <w:rPr>
        <w:i/>
        <w:sz w:val="20"/>
        <w:szCs w:val="20"/>
      </w:rPr>
      <w:t xml:space="preserve"> Climate </w:t>
    </w:r>
    <w:proofErr w:type="spellStart"/>
    <w:r>
      <w:rPr>
        <w:i/>
        <w:sz w:val="20"/>
        <w:szCs w:val="20"/>
      </w:rPr>
      <w:t>Change</w:t>
    </w:r>
    <w:proofErr w:type="spellEnd"/>
    <w:r>
      <w:rPr>
        <w:i/>
        <w:sz w:val="20"/>
        <w:szCs w:val="20"/>
      </w:rPr>
      <w:t xml:space="preserve"> </w:t>
    </w:r>
    <w:proofErr w:type="spellStart"/>
    <w:r>
      <w:rPr>
        <w:i/>
        <w:sz w:val="20"/>
        <w:szCs w:val="20"/>
      </w:rPr>
      <w:t>Initiative</w:t>
    </w:r>
    <w:proofErr w:type="spellEnd"/>
    <w:r>
      <w:rPr>
        <w:i/>
        <w:sz w:val="20"/>
        <w:szCs w:val="20"/>
      </w:rPr>
      <w:t xml:space="preserve">. Poslední aktualizace: září 2019. </w:t>
    </w:r>
    <w:hyperlink r:id="rId1" w:history="1">
      <w:r>
        <w:rPr>
          <w:i/>
          <w:sz w:val="20"/>
          <w:szCs w:val="20"/>
        </w:rPr>
        <w:t>www.cllmatelnteractlve.org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F4E" w:rsidRDefault="007D1F4E"/>
  </w:footnote>
  <w:footnote w:type="continuationSeparator" w:id="0">
    <w:p w:rsidR="007D1F4E" w:rsidRDefault="007D1F4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B7F66"/>
    <w:multiLevelType w:val="multilevel"/>
    <w:tmpl w:val="573AA36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D1F4E"/>
    <w:rsid w:val="000478B6"/>
    <w:rsid w:val="000818DD"/>
    <w:rsid w:val="00114C61"/>
    <w:rsid w:val="0033065F"/>
    <w:rsid w:val="00345F9F"/>
    <w:rsid w:val="00363BF1"/>
    <w:rsid w:val="003A2E5D"/>
    <w:rsid w:val="003F232F"/>
    <w:rsid w:val="00486689"/>
    <w:rsid w:val="005F7717"/>
    <w:rsid w:val="0063415F"/>
    <w:rsid w:val="006C020C"/>
    <w:rsid w:val="007120A5"/>
    <w:rsid w:val="00791C4B"/>
    <w:rsid w:val="007A17D4"/>
    <w:rsid w:val="007A2EE5"/>
    <w:rsid w:val="007D1F4E"/>
    <w:rsid w:val="008C0530"/>
    <w:rsid w:val="008C1937"/>
    <w:rsid w:val="00905CB5"/>
    <w:rsid w:val="009163DF"/>
    <w:rsid w:val="009F352F"/>
    <w:rsid w:val="00A067A5"/>
    <w:rsid w:val="00A17A2C"/>
    <w:rsid w:val="00A34C83"/>
    <w:rsid w:val="00A60D06"/>
    <w:rsid w:val="00A95053"/>
    <w:rsid w:val="00AD4E3B"/>
    <w:rsid w:val="00B8781E"/>
    <w:rsid w:val="00BA4467"/>
    <w:rsid w:val="00C87E7D"/>
    <w:rsid w:val="00D10989"/>
    <w:rsid w:val="00DC3A12"/>
    <w:rsid w:val="00E65821"/>
    <w:rsid w:val="00F367C3"/>
    <w:rsid w:val="00FA6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3B1B"/>
  <w15:docId w15:val="{DD03431A-EDE9-4748-8DB8-A09E7131D30D}"/>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rFonts w:ascii="Arial" w:eastAsia="Arial" w:hAnsi="Arial" w:cs="Arial"/>
      <w:b/>
      <w:bCs/>
      <w:i w:val="0"/>
      <w:iCs w:val="0"/>
      <w:smallCaps w:val="0"/>
      <w:strike w:val="0"/>
      <w:sz w:val="36"/>
      <w:szCs w:val="36"/>
      <w:u w:val="none"/>
    </w:rPr>
  </w:style>
  <w:style w:type="character" w:customStyle="1" w:styleId="Bodytext3">
    <w:name w:val="Body text|3_"/>
    <w:basedOn w:val="DefaultParagraphFont"/>
    <w:link w:val="Bodytext30"/>
    <w:rPr>
      <w:b/>
      <w:bCs/>
      <w:i w:val="0"/>
      <w:iCs w:val="0"/>
      <w:smallCaps w:val="0"/>
      <w:strike w:val="0"/>
      <w:sz w:val="22"/>
      <w:szCs w:val="22"/>
      <w:u w:val="none"/>
    </w:rPr>
  </w:style>
  <w:style w:type="character" w:customStyle="1" w:styleId="Bodytext2">
    <w:name w:val="Body text|2_"/>
    <w:basedOn w:val="DefaultParagraphFont"/>
    <w:link w:val="Bodytext20"/>
    <w:rPr>
      <w:b w:val="0"/>
      <w:bCs w:val="0"/>
      <w:i w:val="0"/>
      <w:iCs w:val="0"/>
      <w:smallCaps w:val="0"/>
      <w:strike w:val="0"/>
      <w:sz w:val="22"/>
      <w:szCs w:val="22"/>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cs-CZ"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none"/>
      <w:lang w:val="cs-CZ" w:eastAsia="en-US" w:bidi="en-US"/>
    </w:rPr>
  </w:style>
  <w:style w:type="character" w:customStyle="1" w:styleId="Bodytext23">
    <w:name w:val="Body text|2"/>
    <w:basedOn w:val="Bodytext2"/>
    <w:semiHidden/>
    <w:unhideWhenUsed/>
    <w:rPr>
      <w:rFonts w:ascii="Times New Roman" w:eastAsia="Times New Roman" w:hAnsi="Times New Roman" w:cs="Times New Roman"/>
      <w:b w:val="0"/>
      <w:bCs w:val="0"/>
      <w:i w:val="0"/>
      <w:iCs w:val="0"/>
      <w:smallCaps w:val="0"/>
      <w:strike w:val="0"/>
      <w:color w:val="222222"/>
      <w:spacing w:val="0"/>
      <w:w w:val="100"/>
      <w:position w:val="0"/>
      <w:sz w:val="22"/>
      <w:szCs w:val="22"/>
      <w:u w:val="none"/>
      <w:lang w:val="cs-CZ" w:eastAsia="en-US" w:bidi="en-US"/>
    </w:rPr>
  </w:style>
  <w:style w:type="character" w:customStyle="1" w:styleId="Bodytext3NotBold">
    <w:name w:val="Body text|3 + Not Bold"/>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365pt">
    <w:name w:val="Body text|3 + 6.5 pt"/>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en-US" w:bidi="en-US"/>
    </w:rPr>
  </w:style>
  <w:style w:type="character" w:customStyle="1" w:styleId="Bodytext265ptBold">
    <w:name w:val="Body text|2 + 6.5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en-US" w:bidi="en-US"/>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4">
    <w:name w:val="Body text|4_"/>
    <w:basedOn w:val="DefaultParagraphFont"/>
    <w:link w:val="Bodytext40"/>
    <w:rPr>
      <w:rFonts w:ascii="Arial" w:eastAsia="Arial" w:hAnsi="Arial" w:cs="Arial"/>
      <w:b w:val="0"/>
      <w:bCs w:val="0"/>
      <w:i/>
      <w:iCs/>
      <w:smallCaps w:val="0"/>
      <w:strike w:val="0"/>
      <w:sz w:val="18"/>
      <w:szCs w:val="18"/>
      <w:u w:val="none"/>
    </w:rPr>
  </w:style>
  <w:style w:type="character" w:customStyle="1" w:styleId="Bodytext2Bold0">
    <w:name w:val="Body text|2 + Bold"/>
    <w:basedOn w:val="Bodytext2"/>
    <w:semiHidden/>
    <w:unhideWhenUsed/>
    <w:rPr>
      <w:rFonts w:ascii="Times New Roman" w:eastAsia="Times New Roman" w:hAnsi="Times New Roman" w:cs="Times New Roman"/>
      <w:b/>
      <w:bCs/>
      <w:i w:val="0"/>
      <w:iCs w:val="0"/>
      <w:smallCaps w:val="0"/>
      <w:strike w:val="0"/>
      <w:color w:val="222222"/>
      <w:spacing w:val="0"/>
      <w:w w:val="100"/>
      <w:position w:val="0"/>
      <w:sz w:val="22"/>
      <w:szCs w:val="22"/>
      <w:u w:val="none"/>
      <w:lang w:val="cs-CZ" w:eastAsia="en-US" w:bidi="en-US"/>
    </w:rPr>
  </w:style>
  <w:style w:type="character" w:customStyle="1" w:styleId="Bodytext5">
    <w:name w:val="Body text|5_"/>
    <w:basedOn w:val="DefaultParagraphFont"/>
    <w:link w:val="Bodytext50"/>
    <w:rPr>
      <w:b/>
      <w:bCs/>
      <w:i w:val="0"/>
      <w:iCs w:val="0"/>
      <w:smallCaps w:val="0"/>
      <w:strike w:val="0"/>
      <w:sz w:val="22"/>
      <w:szCs w:val="22"/>
      <w:u w:val="none"/>
    </w:rPr>
  </w:style>
  <w:style w:type="paragraph" w:customStyle="1" w:styleId="Heading110">
    <w:name w:val="Heading #1|1"/>
    <w:basedOn w:val="Normal"/>
    <w:link w:val="Heading11"/>
    <w:qFormat/>
    <w:pPr>
      <w:shd w:val="clear" w:color="auto" w:fill="FFFFFF"/>
      <w:spacing w:after="120" w:line="402" w:lineRule="exact"/>
      <w:jc w:val="center"/>
      <w:outlineLvl w:val="0"/>
    </w:pPr>
    <w:rPr>
      <w:rFonts w:ascii="Arial" w:eastAsia="Arial" w:hAnsi="Arial" w:cs="Arial"/>
      <w:b/>
      <w:bCs/>
      <w:sz w:val="36"/>
      <w:szCs w:val="36"/>
    </w:rPr>
  </w:style>
  <w:style w:type="paragraph" w:customStyle="1" w:styleId="Bodytext30">
    <w:name w:val="Body text|3"/>
    <w:basedOn w:val="Normal"/>
    <w:link w:val="Bodytext3"/>
    <w:pPr>
      <w:shd w:val="clear" w:color="auto" w:fill="FFFFFF"/>
      <w:spacing w:before="120" w:line="269" w:lineRule="exact"/>
      <w:ind w:hanging="400"/>
      <w:jc w:val="both"/>
    </w:pPr>
    <w:rPr>
      <w:b/>
      <w:bCs/>
      <w:sz w:val="22"/>
      <w:szCs w:val="22"/>
    </w:rPr>
  </w:style>
  <w:style w:type="paragraph" w:customStyle="1" w:styleId="Bodytext20">
    <w:name w:val="Body text|2"/>
    <w:basedOn w:val="Normal"/>
    <w:link w:val="Bodytext2"/>
    <w:qFormat/>
    <w:pPr>
      <w:shd w:val="clear" w:color="auto" w:fill="FFFFFF"/>
      <w:spacing w:after="120" w:line="269" w:lineRule="exact"/>
      <w:ind w:hanging="400"/>
    </w:pPr>
    <w:rPr>
      <w:sz w:val="22"/>
      <w:szCs w:val="22"/>
    </w:rPr>
  </w:style>
  <w:style w:type="paragraph" w:customStyle="1" w:styleId="Bodytext40">
    <w:name w:val="Body text|4"/>
    <w:basedOn w:val="Normal"/>
    <w:link w:val="Bodytext4"/>
    <w:pPr>
      <w:shd w:val="clear" w:color="auto" w:fill="FFFFFF"/>
      <w:spacing w:before="440" w:line="206" w:lineRule="exact"/>
    </w:pPr>
    <w:rPr>
      <w:rFonts w:ascii="Arial" w:eastAsia="Arial" w:hAnsi="Arial" w:cs="Arial"/>
      <w:i/>
      <w:iCs/>
      <w:sz w:val="18"/>
      <w:szCs w:val="18"/>
    </w:rPr>
  </w:style>
  <w:style w:type="paragraph" w:customStyle="1" w:styleId="Bodytext50">
    <w:name w:val="Body text|5"/>
    <w:basedOn w:val="Normal"/>
    <w:link w:val="Bodytext5"/>
    <w:pPr>
      <w:shd w:val="clear" w:color="auto" w:fill="FFFFFF"/>
      <w:spacing w:before="120" w:after="120" w:line="244" w:lineRule="exact"/>
    </w:pPr>
    <w:rPr>
      <w:b/>
      <w:bCs/>
      <w:sz w:val="22"/>
      <w:szCs w:val="22"/>
    </w:rPr>
  </w:style>
  <w:style w:type="paragraph" w:styleId="Header">
    <w:name w:val="header"/>
    <w:basedOn w:val="Normal"/>
    <w:link w:val="HeaderChar"/>
    <w:uiPriority w:val="99"/>
    <w:unhideWhenUsed/>
    <w:rsid w:val="00F367C3"/>
    <w:pPr>
      <w:tabs>
        <w:tab w:val="center" w:pos="4513"/>
        <w:tab w:val="right" w:pos="9026"/>
      </w:tabs>
    </w:pPr>
  </w:style>
  <w:style w:type="character" w:customStyle="1" w:styleId="HeaderChar">
    <w:name w:val="Header Char"/>
    <w:basedOn w:val="DefaultParagraphFont"/>
    <w:link w:val="Header"/>
    <w:uiPriority w:val="99"/>
    <w:rsid w:val="00F367C3"/>
    <w:rPr>
      <w:color w:val="000000"/>
    </w:rPr>
  </w:style>
  <w:style w:type="paragraph" w:styleId="Footer">
    <w:name w:val="footer"/>
    <w:basedOn w:val="Normal"/>
    <w:link w:val="FooterChar"/>
    <w:uiPriority w:val="99"/>
    <w:unhideWhenUsed/>
    <w:rsid w:val="00F367C3"/>
    <w:pPr>
      <w:tabs>
        <w:tab w:val="center" w:pos="4513"/>
        <w:tab w:val="right" w:pos="9026"/>
      </w:tabs>
    </w:pPr>
  </w:style>
  <w:style w:type="character" w:customStyle="1" w:styleId="FooterChar">
    <w:name w:val="Footer Char"/>
    <w:basedOn w:val="DefaultParagraphFont"/>
    <w:link w:val="Footer"/>
    <w:uiPriority w:val="99"/>
    <w:rsid w:val="00F367C3"/>
    <w:rPr>
      <w:color w:val="000000"/>
    </w:rPr>
  </w:style>
  <w:style w:type="paragraph" w:styleId="BalloonText">
    <w:name w:val="Balloon Text"/>
    <w:basedOn w:val="Normal"/>
    <w:link w:val="BalloonTextChar"/>
    <w:uiPriority w:val="99"/>
    <w:semiHidden/>
    <w:unhideWhenUsed/>
    <w:rsid w:val="00FA6E4E"/>
    <w:rPr>
      <w:rFonts w:ascii="Tahoma" w:hAnsi="Tahoma" w:cs="Tahoma"/>
      <w:sz w:val="16"/>
      <w:szCs w:val="16"/>
    </w:rPr>
  </w:style>
  <w:style w:type="character" w:customStyle="1" w:styleId="BalloonTextChar">
    <w:name w:val="Balloon Text Char"/>
    <w:basedOn w:val="DefaultParagraphFont"/>
    <w:link w:val="BalloonText"/>
    <w:uiPriority w:val="99"/>
    <w:semiHidden/>
    <w:rsid w:val="00FA6E4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cllmatelnteractlve.org"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fc960a6-20da-4c94-8684-71380fca093b">CTJJHAUHWN5E-644613129-2921</_dlc_DocId>
    <_dlc_DocIdUrl xmlns="bfc960a6-20da-4c94-8684-71380fca093b">
      <Url>http://dm2016/eesc/2019/_layouts/15/DocIdRedir.aspx?ID=CTJJHAUHWN5E-644613129-2921</Url>
      <Description>CTJJHAUHWN5E-644613129-2921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bfc960a6-20da-4c94-8684-71380fca093b"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bfc960a6-20da-4c94-8684-71380fca093b">2019-12-10T12:00:00+00:00</ProductionDate>
    <FicheYear xmlns="bfc960a6-20da-4c94-8684-71380fca093b">2019</FicheYear>
    <DocumentNumber xmlns="8374e8f1-db99-4c7a-b8f0-8b1e32999b5b">5163</DocumentNumber>
    <DocumentVersion xmlns="bfc960a6-20da-4c94-8684-71380fca093b">0</DocumentVersion>
    <DossierNumber xmlns="bfc960a6-20da-4c94-8684-71380fca093b"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bfc960a6-20da-4c94-8684-71380fca093b" xsi:nil="true"/>
    <TaxCatchAll xmlns="bfc960a6-20da-4c94-8684-71380fca093b">
      <Value>162</Value>
      <Value>72</Value>
      <Value>246</Value>
      <Value>154</Value>
      <Value>64</Value>
      <Value>63</Value>
      <Value>62</Value>
      <Value>60</Value>
      <Value>59</Value>
      <Value>58</Value>
      <Value>56</Value>
      <Value>55</Value>
      <Value>52</Value>
      <Value>49</Value>
      <Value>48</Value>
      <Value>46</Value>
      <Value>45</Value>
      <Value>38</Value>
      <Value>65</Value>
      <Value>153</Value>
      <Value>25</Value>
      <Value>21</Value>
      <Value>17</Value>
      <Value>16</Value>
      <Value>152</Value>
      <Value>14</Value>
      <Value>11</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CS</TermName>
          <TermId xmlns="http://schemas.microsoft.com/office/infopath/2007/PartnerControls">72f9705b-0217-4fd3-bea2-cbc7ed80e26e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bfc960a6-20da-4c94-8684-71380fca093b" xsi:nil="true"/>
    <DocumentYear xmlns="bfc960a6-20da-4c94-8684-71380fca093b">2019</DocumentYear>
    <FicheNumber xmlns="bfc960a6-20da-4c94-8684-71380fca093b">11389</FicheNumber>
    <DocumentPart xmlns="bfc960a6-20da-4c94-8684-71380fca093b">6</DocumentPart>
    <AdoptionDate xmlns="bfc960a6-20da-4c94-8684-71380fca093b" xsi:nil="true"/>
    <RequestingService xmlns="bfc960a6-20da-4c94-8684-71380fca093b">Visites / Publications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TR</TermName>
          <TermId xmlns="http://schemas.microsoft.com/office/infopath/2007/PartnerControls">6e4ededd-04c4-4fa0-94e0-1028050302d5</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ME</TermName>
          <TermId xmlns="http://schemas.microsoft.com/office/infopath/2007/PartnerControls">925b3da5-5ac0-4b3c-928c-6ef66a5c9b3c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SQ</TermName>
          <TermId xmlns="http://schemas.microsoft.com/office/infopath/2007/PartnerControls">5ac17240-8d11-45ec-9893-659b209d7a00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SR</TermName>
          <TermId xmlns="http://schemas.microsoft.com/office/infopath/2007/PartnerControls">7f3a1d13-b985-4bfd-981e-afe31377edff</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MK</TermName>
          <TermId xmlns="http://schemas.microsoft.com/office/infopath/2007/PartnerControls">34ce48bb-063e-4413-a932-50853dc71c5c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374e8f1-db99-4c7a-b8f0-8b1e32999b5b"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4A07B7D2C585754B97D3BEF52E07EE2D" ma:contentTypeVersion="6" ma:contentTypeDescription="Defines the documents for Document Manager V2" ma:contentTypeScope="" ma:versionID="d518878967af7d15d6bc7d5276b505ac">
  <xsd:schema xmlns:xsd="http://www.w3.org/2001/XMLSchema" xmlns:xs="http://www.w3.org/2001/XMLSchema" xmlns:p="http://schemas.microsoft.com/office/2006/metadata/properties" xmlns:ns2="bfc960a6-20da-4c94-8684-71380fca093b" xmlns:ns3="http://schemas.microsoft.com/sharepoint/v3/fields" xmlns:ns4="8374e8f1-db99-4c7a-b8f0-8b1e32999b5b" targetNamespace="http://schemas.microsoft.com/office/2006/metadata/properties" ma:root="true" ma:fieldsID="867771dad2aab2ee45bc2d2a02fd9ee3" ns2:_="" ns3:_="" ns4:_="">
    <xsd:import namespace="bfc960a6-20da-4c94-8684-71380fca093b"/>
    <xsd:import namespace="http://schemas.microsoft.com/sharepoint/v3/fields"/>
    <xsd:import namespace="8374e8f1-db99-4c7a-b8f0-8b1e32999b5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60a6-20da-4c94-8684-71380fca09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4e4b016f-42fc-4499-ae6e-4c1333bbc229}" ma:internalName="TaxCatchAll" ma:showField="CatchAllData"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4e4b016f-42fc-4499-ae6e-4c1333bbc229}" ma:internalName="TaxCatchAllLabel" ma:readOnly="true" ma:showField="CatchAllDataLabel"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74e8f1-db99-4c7a-b8f0-8b1e32999b5b"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38BA9-6421-480A-90C7-78E113AD9B66}"/>
</file>

<file path=customXml/itemProps2.xml><?xml version="1.0" encoding="utf-8"?>
<ds:datastoreItem xmlns:ds="http://schemas.openxmlformats.org/officeDocument/2006/customXml" ds:itemID="{6EFD5758-BD86-4FC3-A864-0FDC19B3A494}"/>
</file>

<file path=customXml/itemProps3.xml><?xml version="1.0" encoding="utf-8"?>
<ds:datastoreItem xmlns:ds="http://schemas.openxmlformats.org/officeDocument/2006/customXml" ds:itemID="{92684A33-3123-4274-AB7E-344B6098BA01}"/>
</file>

<file path=customXml/itemProps4.xml><?xml version="1.0" encoding="utf-8"?>
<ds:datastoreItem xmlns:ds="http://schemas.openxmlformats.org/officeDocument/2006/customXml" ds:itemID="{B04A5813-AC91-4C91-B891-37F9A6D562AB}"/>
</file>

<file path=docProps/app.xml><?xml version="1.0" encoding="utf-8"?>
<Properties xmlns="http://schemas.openxmlformats.org/officeDocument/2006/extended-properties" xmlns:vt="http://schemas.openxmlformats.org/officeDocument/2006/docPropsVTypes">
  <Template>Styles.dotm</Template>
  <TotalTime>34</TotalTime>
  <Pages>3</Pages>
  <Words>1204</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YEYS 2020 - Pracovní dokumenty - Skupina 6B - Rozvojové země (II)</dc:title>
  <cp:keywords>EESC-2019-05163-06-00-INFO-TRA-EN</cp:keywords>
  <dc:description>Rapporteur:  - Original language: EN - Date of document: 10/12/2019 - Date of meeting:  - External documents:  - Administrator: MME LAHOUSSE Chloé</dc:description>
  <cp:lastModifiedBy>Linda Kupcakova</cp:lastModifiedBy>
  <cp:revision>24</cp:revision>
  <dcterms:created xsi:type="dcterms:W3CDTF">2019-11-15T11:00:00Z</dcterms:created>
  <dcterms:modified xsi:type="dcterms:W3CDTF">2019-12-10T09:44:00Z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15/11/2019, 15/11/2019</vt:lpwstr>
  </property>
  <property fmtid="{D5CDD505-2E9C-101B-9397-08002B2CF9AE}" pid="4" name="Pref_Time">
    <vt:lpwstr>11:30:13, 11:18:43</vt:lpwstr>
  </property>
  <property fmtid="{D5CDD505-2E9C-101B-9397-08002B2CF9AE}" pid="5" name="Pref_User">
    <vt:lpwstr>mkop, htoo</vt:lpwstr>
  </property>
  <property fmtid="{D5CDD505-2E9C-101B-9397-08002B2CF9AE}" pid="6" name="Pref_FileName">
    <vt:lpwstr>EESC-2019-05163-06-00-INFO-TRA-EN-CRR.docx, EESC-2019-05163-06-00-INFO-CRR-EN.docx</vt:lpwstr>
  </property>
  <property fmtid="{D5CDD505-2E9C-101B-9397-08002B2CF9AE}" pid="7" name="ContentTypeId">
    <vt:lpwstr>0x010100EA97B91038054C99906057A708A1480A004A07B7D2C585754B97D3BEF52E07EE2D</vt:lpwstr>
  </property>
  <property fmtid="{D5CDD505-2E9C-101B-9397-08002B2CF9AE}" pid="8" name="_dlc_DocIdItemGuid">
    <vt:lpwstr>1007c367-2882-4a22-990b-b2223abf5766</vt:lpwstr>
  </property>
  <property fmtid="{D5CDD505-2E9C-101B-9397-08002B2CF9AE}" pid="9" name="AvailableTranslations">
    <vt:lpwstr>52;#DA|5d49c027-8956-412b-aa16-e85a0f96ad0e;#72;#GA|762d2456-c427-4ecb-b312-af3dad8e258c;#56;#SL|98a412ae-eb01-49e9-ae3d-585a81724cfc;#59;#HR|2f555653-ed1a-4fe6-8362-9082d95989e5;#48;#LT|a7ff5ce7-6123-4f68-865a-a57c31810414;#162;#TR|6e4ededd-04c4-4fa0-94e0-1028050302d5;#21;#IT|0774613c-01ed-4e5d-a25d-11d2388de825;#63;#MT|7df99101-6854-4a26-b53a-b88c0da02c26;#60;#HU|6b229040-c589-4408-b4c1-4285663d20a8;#45;#NL|55c6556c-b4f4-441d-9acf-c498d4f838bd;#25;#SK|46d9fce0-ef79-4f71-b89b-cd6aa82426b8;#14;#DE|f6b31e5a-26fa-4935-b661-318e46daf27e;#64;#PT|50ccc04a-eadd-42ae-a0cb-acaf45f812ba;#16;#PL|1e03da61-4678-4e07-b136-b5024ca9197b;#246;#ME|925b3da5-5ac0-4b3c-928c-6ef66a5c9b3c;#38;#SV|c2ed69e7-a339-43d7-8f22-d93680a92aa0;#154;#SQ|5ac17240-8d11-45ec-9893-659b209d7a00;#55;#BG|1a1b3951-7821-4e6a-85f5-5673fc08bd2c;#46;#CS|72f9705b-0217-4fd3-bea2-cbc7ed80e26e;#62;#FI|87606a43-d45f-42d6-b8c9-e1a3457db5b7;#153;#SR|7f3a1d13-b985-4bfd-981e-afe31377edff;#65;#ET|ff6c3f4c-b02c-4c3c-ab07-2c37995a7a0a;#17;#ES|e7a6b05b-ae16-40c8-add9-68b64b03aeba;#4;#EN|f2175f21-25d7-44a3-96da-d6a61b075e1b;#49;#EL|6d4f4d51-af9b-4650-94b4-4276bee85c91;#152;#MK|34ce48bb-063e-4413-a932-50853dc71c5c;#58;#LV|46f7e311-5d9f-4663-b433-18aeccb7ace7;#10;#FR|d2afafd3-4c81-4f60-8f52-ee33f2f54ff3</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5163</vt:i4>
  </property>
  <property fmtid="{D5CDD505-2E9C-101B-9397-08002B2CF9AE}" pid="14" name="FicheYear">
    <vt:i4>2019</vt:i4>
  </property>
  <property fmtid="{D5CDD505-2E9C-101B-9397-08002B2CF9AE}" pid="15" name="DocumentVersion">
    <vt:i4>0</vt:i4>
  </property>
  <property fmtid="{D5CDD505-2E9C-101B-9397-08002B2CF9AE}" pid="16" name="DocumentStatus">
    <vt:lpwstr>2;#TRA|150d2a88-1431-44e6-a8ca-0bb753ab8672</vt:lpwstr>
  </property>
  <property fmtid="{D5CDD505-2E9C-101B-9397-08002B2CF9AE}" pid="17" name="DocumentPart">
    <vt:i4>6</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1" name="DocumentType">
    <vt:lpwstr>11;#INFO|d9136e7c-93a9-4c42-9d28-92b61e85f80c</vt:lpwstr>
  </property>
  <property fmtid="{D5CDD505-2E9C-101B-9397-08002B2CF9AE}" pid="22" name="RequestingService">
    <vt:lpwstr>Visites / Publications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9" name="AvailableTranslations_0">
    <vt:lpwstr>DA|5d49c027-8956-412b-aa16-e85a0f96ad0e;GA|762d2456-c427-4ecb-b312-af3dad8e258c;SL|98a412ae-eb01-49e9-ae3d-585a81724cfc;HR|2f555653-ed1a-4fe6-8362-9082d95989e5;TR|6e4ededd-04c4-4fa0-94e0-1028050302d5;IT|0774613c-01ed-4e5d-a25d-11d2388de825;MT|7df99101-6854-4a26-b53a-b88c0da02c26;NL|55c6556c-b4f4-441d-9acf-c498d4f838bd;SK|46d9fce0-ef79-4f71-b89b-cd6aa82426b8;PT|50ccc04a-eadd-42ae-a0cb-acaf45f812ba;PL|1e03da61-4678-4e07-b136-b5024ca9197b;ME|925b3da5-5ac0-4b3c-928c-6ef66a5c9b3c;SQ|5ac17240-8d11-45ec-9893-659b209d7a00;BG|1a1b3951-7821-4e6a-85f5-5673fc08bd2c;FI|87606a43-d45f-42d6-b8c9-e1a3457db5b7;SR|7f3a1d13-b985-4bfd-981e-afe31377edff;ES|e7a6b05b-ae16-40c8-add9-68b64b03aeba;EN|f2175f21-25d7-44a3-96da-d6a61b075e1b;EL|6d4f4d51-af9b-4650-94b4-4276bee85c91;MK|34ce48bb-063e-4413-a932-50853dc71c5c</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72;#GA|762d2456-c427-4ecb-b312-af3dad8e258c;#152;#MK|34ce48bb-063e-4413-a932-50853dc71c5c;#153;#SR|7f3a1d13-b985-4bfd-981e-afe31377edff;#64;#PT|50ccc04a-eadd-42ae-a0cb-acaf45f812ba;#63;#MT|7df99101-6854-4a26-b53a-b88c0da02c26;#25;#SK|46d9fce0-ef79-4f71-b89b-cd6aa82426b8;#246;#ME|925b3da5-5ac0-4b3c-928c-6ef66a5c9b3c;#62;#FI|87606a43-d45f-42d6-b8c9-e1a3457db5b7;#59;#HR|2f555653-ed1a-4fe6-8362-9082d95989e5;#21;#IT|0774613c-01ed-4e5d-a25d-11d2388de825;#56;#SL|98a412ae-eb01-49e9-ae3d-585a81724cfc;#55;#BG|1a1b3951-7821-4e6a-85f5-5673fc08bd2c;#17;#ES|e7a6b05b-ae16-40c8-add9-68b64b03aeba;#16;#PL|1e03da61-4678-4e07-b136-b5024ca9197b;#52;#DA|5d49c027-8956-412b-aa16-e85a0f96ad0e;#162;#TR|6e4ededd-04c4-4fa0-94e0-1028050302d5;#49;#EL|6d4f4d51-af9b-4650-94b4-4276bee85c91;#11;#INFO|d9136e7c-93a9-4c42-9d28-92b61e85f80c;#45;#NL|55c6556c-b4f4-441d-9acf-c498d4f838bd;#7;#Final|ea5e6674-7b27-4bac-b091-73adbb394efe;#154;#SQ|5ac17240-8d11-45ec-9893-659b209d7a00;#5;#Unrestricted|826e22d7-d029-4ec0-a450-0c28ff673572;#4;#EN|f2175f21-25d7-44a3-96da-d6a61b075e1b;#2;#TRA|150d2a88-1431-44e6-a8ca-0bb753ab8672;#1;#EESC|422833ec-8d7e-4e65-8e4e-8bed07ffb729</vt:lpwstr>
  </property>
  <property fmtid="{D5CDD505-2E9C-101B-9397-08002B2CF9AE}" pid="33" name="VersionStatus_0">
    <vt:lpwstr>Final|ea5e6674-7b27-4bac-b091-73adbb394efe</vt:lpwstr>
  </property>
  <property fmtid="{D5CDD505-2E9C-101B-9397-08002B2CF9AE}" pid="34" name="VersionStatus">
    <vt:lpwstr>7;#Final|ea5e6674-7b27-4bac-b091-73adbb394efe</vt:lpwstr>
  </property>
  <property fmtid="{D5CDD505-2E9C-101B-9397-08002B2CF9AE}" pid="35" name="DocumentYear">
    <vt:i4>2019</vt:i4>
  </property>
  <property fmtid="{D5CDD505-2E9C-101B-9397-08002B2CF9AE}" pid="36" name="FicheNumber">
    <vt:i4>11389</vt:i4>
  </property>
  <property fmtid="{D5CDD505-2E9C-101B-9397-08002B2CF9AE}" pid="37" name="DocumentLanguage">
    <vt:lpwstr>46;#CS|72f9705b-0217-4fd3-bea2-cbc7ed80e26e</vt:lpwstr>
  </property>
</Properties>
</file>